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w:t>
      </w:r>
      <w:r>
        <w:rPr>
          <w:rFonts w:hint="eastAsia" w:ascii="宋体" w:hAnsi="宋体" w:cs="宋体"/>
          <w:i w:val="0"/>
          <w:iCs w:val="0"/>
          <w:caps w:val="0"/>
          <w:color w:val="auto"/>
          <w:spacing w:val="0"/>
          <w:kern w:val="0"/>
          <w:sz w:val="28"/>
          <w:szCs w:val="28"/>
          <w:shd w:val="clear" w:color="auto" w:fill="FFFFFF"/>
          <w:lang w:val="en-US" w:eastAsia="zh-CN" w:bidi="ar"/>
        </w:rPr>
        <w:t>4</w:t>
      </w:r>
    </w:p>
    <w:p>
      <w:pPr>
        <w:keepNext w:val="0"/>
        <w:keepLines w:val="0"/>
        <w:pageBreakBefore w:val="0"/>
        <w:kinsoku/>
        <w:wordWrap/>
        <w:overflowPunct/>
        <w:topLinePunct w:val="0"/>
        <w:autoSpaceDE/>
        <w:autoSpaceDN/>
        <w:bidi w:val="0"/>
        <w:adjustRightInd/>
        <w:snapToGrid/>
        <w:spacing w:beforeAutospacing="0" w:line="500" w:lineRule="exact"/>
        <w:jc w:val="center"/>
        <w:textAlignment w:val="auto"/>
      </w:pPr>
      <w:r>
        <w:rPr>
          <w:rFonts w:hint="eastAsia" w:ascii="宋体" w:hAnsi="宋体" w:cs="宋体"/>
          <w:b/>
          <w:bCs/>
          <w:color w:val="333333"/>
          <w:kern w:val="0"/>
          <w:sz w:val="32"/>
          <w:szCs w:val="32"/>
        </w:rPr>
        <w:t>采购需求</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line="50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一、需求</w:t>
      </w:r>
      <w:r>
        <w:rPr>
          <w:rFonts w:hint="eastAsia" w:ascii="宋体" w:hAnsi="宋体" w:eastAsia="宋体" w:cs="宋体"/>
          <w:b/>
          <w:bCs/>
          <w:kern w:val="2"/>
          <w:sz w:val="28"/>
          <w:szCs w:val="28"/>
          <w:lang w:val="en-US" w:eastAsia="zh-CN" w:bidi="ar-SA"/>
        </w:rPr>
        <w:t>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按照治安法律法规要求，医院所有监控视频录像保存时间应达到90天及以上。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default"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由于富顺县中医医院富达路院区设备老旧，且部分设备硬件不达标，无法通过增加硬盘来扩容的方法，来保证监控视频保存90天。所以决定采购一批监控设备，在最大限度保存原有设备的前提下，保证每一个监控点位视频录像能保存90天以上。</w:t>
      </w:r>
      <w:bookmarkStart w:id="0" w:name="_GoBack"/>
      <w:bookmarkEnd w:id="0"/>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line="500" w:lineRule="exact"/>
        <w:ind w:firstLine="562" w:firstLineChars="200"/>
        <w:textAlignment w:val="auto"/>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二、采购内容</w:t>
      </w:r>
    </w:p>
    <w:tbl>
      <w:tblPr>
        <w:tblStyle w:val="10"/>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73"/>
        <w:gridCol w:w="842"/>
        <w:gridCol w:w="1062"/>
        <w:gridCol w:w="347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序号</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产品名称</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数量</w:t>
            </w:r>
          </w:p>
        </w:tc>
        <w:tc>
          <w:tcPr>
            <w:tcW w:w="106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备注</w:t>
            </w:r>
          </w:p>
        </w:tc>
        <w:tc>
          <w:tcPr>
            <w:tcW w:w="3475" w:type="dxa"/>
          </w:tcPr>
          <w:p>
            <w:pPr>
              <w:widowControl/>
              <w:spacing w:line="360" w:lineRule="auto"/>
              <w:jc w:val="cente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eastAsia="zh-CN"/>
                <w14:textFill>
                  <w14:solidFill>
                    <w14:schemeClr w14:val="tx1"/>
                  </w14:solidFill>
                </w14:textFill>
              </w:rPr>
              <w:t>规格</w:t>
            </w:r>
            <w:r>
              <w:rPr>
                <w:rFonts w:hint="eastAsia" w:asciiTheme="majorEastAsia" w:hAnsiTheme="majorEastAsia" w:eastAsiaTheme="majorEastAsia" w:cstheme="majorEastAsia"/>
                <w:color w:val="000000" w:themeColor="text1"/>
                <w:sz w:val="18"/>
                <w:szCs w:val="18"/>
                <w14:textFill>
                  <w14:solidFill>
                    <w14:schemeClr w14:val="tx1"/>
                  </w14:solidFill>
                </w14:textFill>
              </w:rPr>
              <w:t>参数</w:t>
            </w:r>
          </w:p>
        </w:tc>
        <w:tc>
          <w:tcPr>
            <w:tcW w:w="1512" w:type="dxa"/>
          </w:tcPr>
          <w:p>
            <w:pPr>
              <w:widowControl/>
              <w:spacing w:line="360" w:lineRule="auto"/>
              <w:jc w:val="left"/>
              <w:rPr>
                <w:rFonts w:hint="eastAsia" w:asciiTheme="majorEastAsia" w:hAnsiTheme="majorEastAsia" w:eastAsiaTheme="majorEastAsia" w:cstheme="majorEastAsia"/>
                <w:color w:val="000000" w:themeColor="text1"/>
                <w:sz w:val="18"/>
                <w:szCs w:val="18"/>
                <w:lang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eastAsia="zh-CN"/>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网络摄像机</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34个</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替换原有34个汉邦高科摄像头，替换原因：因原有汉邦高科摄像头协议老旧，不支持现有录像机协议。</w:t>
            </w:r>
          </w:p>
        </w:tc>
        <w:tc>
          <w:tcPr>
            <w:tcW w:w="3475" w:type="dxa"/>
            <w:vAlign w:val="top"/>
          </w:tcPr>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1、内置GPU芯片，支持深度学习算法，有效提升检测准确率；</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2、支持三种智能资源切换：通用行为分析、人脸检测、人数统计；</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3、支持对进入规定区域发生火焰、烟雾检测，最多支持火焰、烟雾各一条共两条规则，智能支持同开，相关智能支持声光报警联动，当报警产生时，可触发联动声音警报和灯光闪烁 ；</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4、支持报警联动，当报警产生时，可触发联动声音警报和灯光闪烁；</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5、支持人数统计：支持进入/离开人数统计，并可生成人数统计日/月/年报表，导出使用；支持排队管理；支持区域内人数统计；</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6、采用星光级低照度≥400万像素1/2.7英寸CMOS图像传感器，低照度效果好，图像清晰度高；</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7、最大可输出400万(2688×1520)@25fps/8、支持H.265编码，压缩比高，实现超低码流传输；</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8、内置高效红外补光灯，最大红外监控距离≥150米；</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9、支持人员、机动车、非机动车区分检验，备智能分析抗干扰功能，当小狗、树叶等非人或车辆目标经过检测区域时，不会触发报警；</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10、支持人脸属性显示功能，可在IE浏览器预览界面显示包括年龄、性别、有无戴眼镜、表情、胡子、口罩等人脸属性；</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11、支持目标过滤功能，可通过IE浏览器设置检测目标的最大像素和最小像素，并对不在设置像素范围内的目标进行过滤；</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12、支持走廊模式，宽动态，3D降噪，强光抑制，背光补偿，数字水印，适用不同监控环境；</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13、支持ROI，SMART H.264/H.265，灵活编码，适用不同带宽和存储环境；</w:t>
            </w:r>
          </w:p>
          <w:p>
            <w:pPr>
              <w:pStyle w:val="22"/>
              <w:numPr>
                <w:ilvl w:val="0"/>
                <w:numId w:val="0"/>
              </w:numP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14、支持一键撤防，可在自定义设置的时间段内对邮件，音频，灯光等事件联动项进行统一撤防控制；</w:t>
            </w:r>
          </w:p>
          <w:p>
            <w:pPr>
              <w:pStyle w:val="22"/>
              <w:numPr>
                <w:ilvl w:val="0"/>
                <w:numId w:val="0"/>
              </w:numPr>
              <w:rPr>
                <w:rFonts w:hint="eastAsia" w:asciiTheme="majorEastAsia" w:hAnsiTheme="majorEastAsia" w:eastAsiaTheme="majorEastAsia" w:cstheme="majorEastAsia"/>
                <w:color w:val="000000" w:themeColor="text1"/>
                <w:spacing w:val="-6"/>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spacing w:val="-6"/>
                <w:sz w:val="21"/>
                <w:szCs w:val="21"/>
                <w:lang w:val="en-US" w:eastAsia="zh-CN"/>
                <w14:textFill>
                  <w14:solidFill>
                    <w14:schemeClr w14:val="tx1"/>
                  </w14:solidFill>
                </w14:textFill>
              </w:rPr>
              <w:t>15、支持内置MIC和扬声器，最大支持256G Micro SD卡，支持DC12V/POE供电方式支持IP67防护等级；</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服务要求：</w:t>
            </w:r>
          </w:p>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 1、产品质保一年，终身售后服务</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带</w:t>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参数为重要参数，不允许负偏离。</w:t>
            </w:r>
          </w:p>
          <w:p>
            <w:pPr>
              <w:widowControl/>
              <w:spacing w:line="240" w:lineRule="auto"/>
              <w:jc w:val="left"/>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 2、为保证所投产品</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的质量及售后保障，中标公司在中标后一天内提供中标产品厂家出具的参数证明函及售后服务承诺函（并加盖生产厂家鲜章）</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64路硬盘录像机16盘位</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2台</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替换原有2台汉邦高科录像机，替换原因：因原有汉邦高科录像机协议老旧，最大录像不支持90天。</w:t>
            </w:r>
          </w:p>
        </w:tc>
        <w:tc>
          <w:tcPr>
            <w:tcW w:w="3475" w:type="dxa"/>
            <w:vAlign w:val="top"/>
          </w:tcPr>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支持WEB、本地GUI界面操作</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支持最大64路网络视频接入，网络性能384Mbps接入、384Mbps储存、384Mbps转发</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支持不开智能：2路32MP@25fps；2路24MP@25fps；4路16MP@30fps；5路12MP@30fps；8路8MP@30fps；10路6MP@30fps；32路5MP@30fps；64路4MP@30fps； 或开智能：1路32MP@25fps；1路24MP@25fps；2路16MP@30fps；4路12MP@30fps；6路8MP@30fps；8路6MP@30fps；8路5MP@30fps；12路4MP@30fps解码。最大支持64路视频回放</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支持32MP; 24MP; 16MP; 12MP; 8MP; 6MP; 5MP; 4MP; 3MP; 1080p; 960p; 720p; D1; CIF; QCIF IPC分辨率接入</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支持前智能：人脸检测比对、周界防范、视频结构化、通用行为分析、立体行为分析、人群分布、人数统计、热度图、车牌识别、智能动检</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支持2路后智能人脸检测比对；或4路后智能周界防范；或8路后智能智能动检</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支持最大20个人脸库，共2万张人脸图片</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支持16个内置SATA接口，单盘最大容量支持20T，可配置成单盘，支持Raid0、Raid1、Raid5、Raid6、Raid10、JBOD等各种数据保护模式</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支持N+M集群管理功能，当主机发生故障时，备机可替换故障主机继续录像，故障恢复后，备机可将存储的录像回传至故障主机</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支持iSCSI扩展存储功能，支持iSCSI方式对接IP SAN设备，实现扩容存储</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支持电子云台，将全景画面中多个感兴趣区域提取成单独细节画面，当区域内有人、车目标经过时对应细节画面随目标跟踪展示</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支持提供主动注册服务，前端相机支持以主动注册方式添加到设备上</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支持主动注册客户端功能，设备可以以主动注册方式添加到平台</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支持64路报警输入、8路报警输出，其中1路12V1A ctrl输出</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支持3个USB接口（2个前置USB2.0接口、1个后置USB3.0接口）</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支持2个千兆以太网口，支持2个不同段IP地址的IPC设备接入，支持将多网口设置同一个IP地址，实现数据链路冗余</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支持1路VGA输出，1路HDMI输出。同源模式：VGA最大支持1080P显示，HDMI最大支持4K显示；异源模式：VGA最大支持1080P显示，HDMI最大支持4K显示</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可接驳支持ONVIF、RTSP协议的第三方摄像机和主流品牌摄像机</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支持Smart H.265/H.265/Smart H.264/H.264，支持一键添加IPC并自动切换到H.265</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支持IPv4、IPv6、HTTP、UPnP、NTP、 RTSP、SADP、SNMP、PPPoE、DNS、FTP、ONVIF 23.12网络协议</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支持大华云联功能，支持云联APP远程监控、预览、回放</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支持硬盘、外接USB存储设备、DVD刻录等存储方式，支持U盘，eSATA方式，DVD刻录备份方式</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支持切片回放功能，将录像切片等分成若干段视频进行多路同时回放</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支持即时回放功能，在预览画面下回放指定通道的录像</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支持盘组管理功能，实现视频录像的定向存储</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支持配额管理功能，实现按通道分配不同的录像天数进行存储</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支持语音对讲，客户端、WEB与NVR之间以及通过NVR与网络摄像机之间进行语音对讲；NVR与网络摄像机之间进行语音对讲</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支持断网续传功能，能对前端摄像机断网这段时间内SD卡中的录像回传到NVR</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支持远程管理IPC功能，支持对前端IPC远程升级，支持远程对IPC的编码配置修改等操作</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支持远程零通道预览功能，可将接入的多路视频图像多画面显示在一路视频图像上</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支持走廊模式功能，支持IPC画面旋转90°或270°，成9:16走廊模式</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支持预览通道拖动保存、自定义布局（双目、三目、四目枪机接入）</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支持3+1全景相机、哈勃、天阙、守望者等多目相机配套接入</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SmartIPC接入、绊线入侵、区域入侵、场景变化、移动侦测、人脸检测、物品遗留和物品搬移时，可给出报警/联动/上传，同时支持智能动检、人群分布、热度图、人数统计、车牌检测（支持卡口ITC、球机）、智能跟踪球</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支持鱼眼矫正功能，本地和web端在预览和回放模式下，支持对接入鱼眼视频以拼接的方式进行矫正功能</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支持最大64路“摘要”精准精索</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供货时演示以下功能，必要时可要求提供具有CMA标识的三方检测机构出具的检测报告复印件：</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▲可同时正放或倒放16路H.265或H.264编码、2560×1440分辨率的视频图像；或8路H.265或H.264编码、4096×2160分辨率的视频图像；或2路H.265或H.264编码、8192×3840分辨率的视频图像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可自适应接入H.265、H.264、MPEG4、MJPE、SmartH.264、SmartH.265、SVAC编码格式的网络视频并解码支持2路分辨率为8192×3840、帧率为25fps或5路分辨率为4000×3000、帧率为25fps或8路分辨率为4096×2160、帧率为25fps或16路分辨率为2560×1440、帧率为30fps或32路分辨率为1920*1080、帧率为30fps的视频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▲支持2路H.265编码、25fps、8192×3840分辨率的拼接摄像机视频实时预览功能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▲搜索列表中的设备，不需要添加就可以通过点击预览按钮查看前端的视频画面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 xml:space="preserve">▲设备应自动记录与设备信息安全相关的日志信息，作为独立的安全日志,内容包括用户登录/登出、重要和敏感操作、安全事件等,并划分独立的记录空间存储安全日志,其它日志信息不能覆盖安全日志 </w:t>
            </w:r>
          </w:p>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▲支持CGI命令配置设备配置参数</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服务要求： </w:t>
            </w:r>
          </w:p>
          <w:p>
            <w:pPr>
              <w:widowControl/>
              <w:numPr>
                <w:ilvl w:val="0"/>
                <w:numId w:val="1"/>
              </w:numPr>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产品质保一年，终身售后服务</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带</w:t>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参数为重要参数，不允许负偏离。 </w:t>
            </w:r>
          </w:p>
          <w:p>
            <w:pPr>
              <w:widowControl/>
              <w:numPr>
                <w:ilvl w:val="0"/>
                <w:numId w:val="0"/>
              </w:numPr>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2、为保证所投产品</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的质量及售后保障，中标公司在中标后一天内提供中标产品厂家出具的参数证明函及售后服务承诺函（并加盖生产厂家鲜章）</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，否则做废标处理，并报请相关部门按虚假响应依法处理。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3</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监控存储盘</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16块</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两台16路8盘位硬盘录像机每台安装6块8T监控存储盘，一台16路4盘位硬盘录像机安装4块8T监控存储盘。</w:t>
            </w:r>
          </w:p>
        </w:tc>
        <w:tc>
          <w:tcPr>
            <w:tcW w:w="3475" w:type="dxa"/>
            <w:vAlign w:val="top"/>
          </w:tcPr>
          <w:p>
            <w:pPr>
              <w:pStyle w:val="22"/>
              <w:numPr>
                <w:ilvl w:val="0"/>
                <w:numId w:val="0"/>
              </w:numP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1.容量：8TB                                             2.接口：SATA3                                                    3.尺寸: 3.5英寸                                        </w:t>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i w:val="0"/>
                <w:iCs w:val="0"/>
                <w:color w:val="000000"/>
                <w:kern w:val="0"/>
                <w:sz w:val="18"/>
                <w:szCs w:val="18"/>
                <w:u w:val="none"/>
                <w:lang w:val="en-US" w:eastAsia="zh-CN" w:bidi="ar"/>
              </w:rPr>
              <w:t>4.缓存≥64MB</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i w:val="0"/>
                <w:iCs w:val="0"/>
                <w:color w:val="000000"/>
                <w:kern w:val="0"/>
                <w:sz w:val="18"/>
                <w:szCs w:val="18"/>
                <w:u w:val="none"/>
                <w:lang w:val="en-US" w:eastAsia="zh-CN" w:bidi="ar"/>
              </w:rPr>
              <w:t>5.转速≥7200转</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服务要求： </w:t>
            </w:r>
          </w:p>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产品质保一年，终身售后服务</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带</w:t>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参数为重要参数，不允许负偏离。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4</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摄像机支架</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34个</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708鸭嘴</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服务要求：</w:t>
            </w:r>
          </w:p>
          <w:p>
            <w:pPr>
              <w:widowControl/>
              <w:spacing w:line="240" w:lineRule="auto"/>
              <w:jc w:val="left"/>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满足监控设备使用。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5</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网络机柜</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1个</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产品类型：网络机柜</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i w:val="0"/>
                <w:iCs w:val="0"/>
                <w:color w:val="000000"/>
                <w:kern w:val="0"/>
                <w:sz w:val="18"/>
                <w:szCs w:val="18"/>
                <w:u w:val="none"/>
                <w:lang w:val="en-US" w:eastAsia="zh-CN" w:bidi="ar"/>
              </w:rPr>
              <w:t>材质：冷轧钢板，脱脂静电喷塑</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尺寸：600*600*1610（长*宽*高）</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i w:val="0"/>
                <w:iCs w:val="0"/>
                <w:color w:val="000000"/>
                <w:kern w:val="0"/>
                <w:sz w:val="18"/>
                <w:szCs w:val="18"/>
                <w:u w:val="none"/>
                <w:lang w:val="en-US" w:eastAsia="zh-CN" w:bidi="ar"/>
              </w:rPr>
              <w:t>配置参数：托盘3块、风扇、电源、哈博螺丝、轮子4个</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i w:val="0"/>
                <w:iCs w:val="0"/>
                <w:color w:val="000000"/>
                <w:kern w:val="0"/>
                <w:sz w:val="18"/>
                <w:szCs w:val="18"/>
                <w:u w:val="none"/>
                <w:lang w:val="en-US" w:eastAsia="zh-CN" w:bidi="ar"/>
              </w:rPr>
              <w:t>玻璃参数：5MM钢化玻璃</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机柜结构：拼装式</w:t>
            </w:r>
          </w:p>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机柜摆放：落地式</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 xml:space="preserve">服务要求： </w:t>
            </w:r>
          </w:p>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产品质保一年，终身售后服务</w:t>
            </w:r>
            <w:r>
              <w:rPr>
                <w:rFonts w:hint="eastAsia" w:asciiTheme="majorEastAsia" w:hAnsiTheme="majorEastAsia" w:eastAsiaTheme="majorEastAsia" w:cstheme="majorEastAsia"/>
                <w:color w:val="000000" w:themeColor="text1"/>
                <w:kern w:val="0"/>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带</w:t>
            </w: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参数为重要参数，不允许负偏离。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6</w:t>
            </w:r>
          </w:p>
        </w:tc>
        <w:tc>
          <w:tcPr>
            <w:tcW w:w="1073"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网线</w:t>
            </w:r>
          </w:p>
        </w:tc>
        <w:tc>
          <w:tcPr>
            <w:tcW w:w="842"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300米</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国标超五类无氧铜，0.5线芯</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服务要求：</w:t>
            </w:r>
          </w:p>
          <w:p>
            <w:pPr>
              <w:widowControl/>
              <w:spacing w:line="240" w:lineRule="auto"/>
              <w:jc w:val="left"/>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以现场实际测量为准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77"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7</w:t>
            </w:r>
          </w:p>
        </w:tc>
        <w:tc>
          <w:tcPr>
            <w:tcW w:w="1073"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电源线</w:t>
            </w:r>
          </w:p>
        </w:tc>
        <w:tc>
          <w:tcPr>
            <w:tcW w:w="842"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180米</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国标无氧铜，1.0线芯</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服务要求：</w:t>
            </w:r>
          </w:p>
          <w:p>
            <w:pPr>
              <w:widowControl/>
              <w:spacing w:line="240" w:lineRule="auto"/>
              <w:jc w:val="left"/>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以现场实际测量为准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7"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8</w:t>
            </w:r>
          </w:p>
        </w:tc>
        <w:tc>
          <w:tcPr>
            <w:tcW w:w="1073"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交换器</w:t>
            </w:r>
          </w:p>
        </w:tc>
        <w:tc>
          <w:tcPr>
            <w:tcW w:w="842"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4台</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网口速率：10M/100M/1000M</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网口数：5</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背板带宽：≥10Gbps</w:t>
            </w:r>
          </w:p>
        </w:tc>
        <w:tc>
          <w:tcPr>
            <w:tcW w:w="1512" w:type="dxa"/>
          </w:tcPr>
          <w:p>
            <w:pPr>
              <w:widowControl/>
              <w:spacing w:line="240" w:lineRule="auto"/>
              <w:jc w:val="left"/>
              <w:rPr>
                <w:rFonts w:hint="eastAsia" w:asciiTheme="majorEastAsia" w:hAnsiTheme="majorEastAsia" w:eastAsiaTheme="majorEastAsia" w:cstheme="majorEastAsia"/>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服务要求：</w:t>
            </w:r>
          </w:p>
          <w:p>
            <w:pPr>
              <w:widowControl/>
              <w:spacing w:line="240" w:lineRule="auto"/>
              <w:jc w:val="left"/>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val="en-US" w:eastAsia="zh-CN"/>
                <w14:textFill>
                  <w14:solidFill>
                    <w14:schemeClr w14:val="tx1"/>
                  </w14:solidFill>
                </w14:textFill>
              </w:rPr>
              <w:t>以现场实际测量为准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7" w:type="dxa"/>
          </w:tcPr>
          <w:p>
            <w:pPr>
              <w:widowControl/>
              <w:spacing w:line="360" w:lineRule="auto"/>
              <w:jc w:val="left"/>
              <w:rPr>
                <w:rFonts w:hint="default"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9</w:t>
            </w:r>
          </w:p>
        </w:tc>
        <w:tc>
          <w:tcPr>
            <w:tcW w:w="1073"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监控操作终端</w:t>
            </w:r>
          </w:p>
        </w:tc>
        <w:tc>
          <w:tcPr>
            <w:tcW w:w="842" w:type="dxa"/>
          </w:tcPr>
          <w:p>
            <w:pPr>
              <w:widowControl/>
              <w:spacing w:line="360" w:lineRule="auto"/>
              <w:jc w:val="left"/>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1套</w:t>
            </w:r>
          </w:p>
        </w:tc>
        <w:tc>
          <w:tcPr>
            <w:tcW w:w="1062" w:type="dxa"/>
          </w:tcPr>
          <w:p>
            <w:pPr>
              <w:pStyle w:val="22"/>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pPr>
          </w:p>
        </w:tc>
        <w:tc>
          <w:tcPr>
            <w:tcW w:w="3475" w:type="dxa"/>
            <w:vAlign w:val="top"/>
          </w:tcPr>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用于快速查看、拷贝取监控视频</w:t>
            </w:r>
          </w:p>
        </w:tc>
        <w:tc>
          <w:tcPr>
            <w:tcW w:w="1512" w:type="dxa"/>
          </w:tcPr>
          <w:p>
            <w:pPr>
              <w:pStyle w:val="22"/>
              <w:numPr>
                <w:ilvl w:val="0"/>
                <w:numId w:val="0"/>
              </w:numPr>
              <w:rPr>
                <w:rFonts w:hint="eastAsia" w:asciiTheme="majorEastAsia" w:hAnsiTheme="majorEastAsia" w:eastAsiaTheme="majorEastAsia" w:cstheme="majorEastAsia"/>
                <w:i w:val="0"/>
                <w:iCs w:val="0"/>
                <w:color w:val="000000"/>
                <w:kern w:val="0"/>
                <w:sz w:val="18"/>
                <w:szCs w:val="18"/>
                <w:u w:val="none"/>
                <w:lang w:val="en-US" w:eastAsia="zh-CN" w:bidi="ar"/>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right="0" w:rightChars="0" w:firstLine="562" w:firstLineChars="200"/>
        <w:jc w:val="left"/>
        <w:textAlignment w:val="auto"/>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三、技术要求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right="0" w:rightChars="0" w:firstLine="560" w:firstLineChars="200"/>
        <w:jc w:val="left"/>
        <w:textAlignment w:val="auto"/>
        <w:rPr>
          <w:rFonts w:hint="default"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1.项目地点：富顺县中医医院富达路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2.质量要求：按相关规范进行施工，达到或超过国家规范和相关质量要求。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3.报价要求：本项目按工程量清单总价包干。合同包干价应是项目全部工作内容的价格体现，包括：人工费、材料费、施工机具使用费、企业管理费、利润、规费和税金各项费用。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4.本工程为总包方式，工程报价为总报价，本工程不涉及增减量。请有投标意向的供应商自行踏勘工程现场，未进行现场勘测不得参与调研。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default"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联系人：卓先生15983157909，肖先生 13018180300。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5.工程中使用的材料需达到国家标准。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四、安全责任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工程在运输、安装、调试等整个工程活动期间，在工程实施地点范围内，所有安全责任均由施工方负责。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五、商务要求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default"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1.工期要求：20天。除不可抗力情况以外，每超出一天罚款100元，超过一周，甲方有权取消合同，且此次造成的一切损失由乙方承担。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2.质保期：一年。质保期间，如果设备故障，乙方应在一天内对设备进行检测，并免费进行更换或者维修（包括线路故障）。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3.验收标准：按国家有关规定、采购文件的质量要求和技术指标、供应商的响应文件及承诺以及合同约定标准进行验收。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六、付款方式：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工程验收、正常使用后，乙方凭正式发票一次性付款100%。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jc w:val="left"/>
        <w:textAlignment w:val="auto"/>
        <w:rPr>
          <w:rFonts w:hint="eastAsia" w:ascii="宋体" w:hAnsi="宋体" w:cs="宋体"/>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626C0"/>
    <w:multiLevelType w:val="singleLevel"/>
    <w:tmpl w:val="3D0626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WNhOWQzNjNiYWY0NDgyZjIzNTNhMmNiMmFlNDQifQ=="/>
    <w:docVar w:name="KSO_WPS_MARK_KEY" w:val="1afdc2cd-968d-4c1d-af17-6aa46cf15426"/>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A966B6"/>
    <w:rsid w:val="0CC0529A"/>
    <w:rsid w:val="0D906017"/>
    <w:rsid w:val="0E707BD8"/>
    <w:rsid w:val="10370935"/>
    <w:rsid w:val="106F0166"/>
    <w:rsid w:val="11B95035"/>
    <w:rsid w:val="12064AFA"/>
    <w:rsid w:val="120954C8"/>
    <w:rsid w:val="14B7032D"/>
    <w:rsid w:val="15147D27"/>
    <w:rsid w:val="15187DE4"/>
    <w:rsid w:val="15A96BAD"/>
    <w:rsid w:val="15B42684"/>
    <w:rsid w:val="15C5419E"/>
    <w:rsid w:val="167C538B"/>
    <w:rsid w:val="16871928"/>
    <w:rsid w:val="17287F26"/>
    <w:rsid w:val="183314EC"/>
    <w:rsid w:val="189A2440"/>
    <w:rsid w:val="18E831AB"/>
    <w:rsid w:val="19265A82"/>
    <w:rsid w:val="1AB75F10"/>
    <w:rsid w:val="1AE86EF1"/>
    <w:rsid w:val="1B0E2C71"/>
    <w:rsid w:val="1B23320A"/>
    <w:rsid w:val="1B7E1BA5"/>
    <w:rsid w:val="1C30430B"/>
    <w:rsid w:val="1C931713"/>
    <w:rsid w:val="1CF602B7"/>
    <w:rsid w:val="1D552DD9"/>
    <w:rsid w:val="1E1602B3"/>
    <w:rsid w:val="1EBC0C9B"/>
    <w:rsid w:val="1F14226B"/>
    <w:rsid w:val="1F7E03C6"/>
    <w:rsid w:val="20303E66"/>
    <w:rsid w:val="2042491F"/>
    <w:rsid w:val="20BE2A44"/>
    <w:rsid w:val="21D73DBD"/>
    <w:rsid w:val="2353741D"/>
    <w:rsid w:val="23963387"/>
    <w:rsid w:val="23A022E6"/>
    <w:rsid w:val="23B95F8F"/>
    <w:rsid w:val="240C2C8D"/>
    <w:rsid w:val="2743716E"/>
    <w:rsid w:val="27BE7377"/>
    <w:rsid w:val="281B728C"/>
    <w:rsid w:val="288E7FB8"/>
    <w:rsid w:val="2ACC5E28"/>
    <w:rsid w:val="2AFA4AF0"/>
    <w:rsid w:val="2C7B3199"/>
    <w:rsid w:val="2D12039F"/>
    <w:rsid w:val="2DC12029"/>
    <w:rsid w:val="2F916768"/>
    <w:rsid w:val="30E328C4"/>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82298A"/>
    <w:rsid w:val="3BDD426E"/>
    <w:rsid w:val="3C261771"/>
    <w:rsid w:val="3C4165AB"/>
    <w:rsid w:val="3D70406E"/>
    <w:rsid w:val="3D87623F"/>
    <w:rsid w:val="3EBE25E5"/>
    <w:rsid w:val="411F60DA"/>
    <w:rsid w:val="419B4241"/>
    <w:rsid w:val="432C1A76"/>
    <w:rsid w:val="43DC548D"/>
    <w:rsid w:val="44446C38"/>
    <w:rsid w:val="446E4829"/>
    <w:rsid w:val="4561693D"/>
    <w:rsid w:val="45955456"/>
    <w:rsid w:val="45FD7B15"/>
    <w:rsid w:val="460A5C60"/>
    <w:rsid w:val="47F06548"/>
    <w:rsid w:val="48845D12"/>
    <w:rsid w:val="4D4F03EC"/>
    <w:rsid w:val="4D510618"/>
    <w:rsid w:val="4E9E70A4"/>
    <w:rsid w:val="4ECA1C10"/>
    <w:rsid w:val="4F4E6C9A"/>
    <w:rsid w:val="4F5C39D0"/>
    <w:rsid w:val="51C24FEE"/>
    <w:rsid w:val="524E76E7"/>
    <w:rsid w:val="541D1B6B"/>
    <w:rsid w:val="5465390E"/>
    <w:rsid w:val="55CD6F5D"/>
    <w:rsid w:val="5694513B"/>
    <w:rsid w:val="571472F6"/>
    <w:rsid w:val="575A060E"/>
    <w:rsid w:val="59640F79"/>
    <w:rsid w:val="5AFF3461"/>
    <w:rsid w:val="5B021F11"/>
    <w:rsid w:val="5BC04108"/>
    <w:rsid w:val="5E0A45F7"/>
    <w:rsid w:val="5F192641"/>
    <w:rsid w:val="5FD66A10"/>
    <w:rsid w:val="602A65C8"/>
    <w:rsid w:val="6051475F"/>
    <w:rsid w:val="62201936"/>
    <w:rsid w:val="64D83E07"/>
    <w:rsid w:val="650718A4"/>
    <w:rsid w:val="65A36EA0"/>
    <w:rsid w:val="65A7371A"/>
    <w:rsid w:val="665C0176"/>
    <w:rsid w:val="669958FF"/>
    <w:rsid w:val="68CB08C9"/>
    <w:rsid w:val="69595343"/>
    <w:rsid w:val="69CF0509"/>
    <w:rsid w:val="6AC94022"/>
    <w:rsid w:val="6E044F0E"/>
    <w:rsid w:val="6E494B6B"/>
    <w:rsid w:val="6F103A37"/>
    <w:rsid w:val="70BF533E"/>
    <w:rsid w:val="70C53167"/>
    <w:rsid w:val="7211748F"/>
    <w:rsid w:val="73295BDB"/>
    <w:rsid w:val="735465E8"/>
    <w:rsid w:val="73E66603"/>
    <w:rsid w:val="73E942E0"/>
    <w:rsid w:val="73F13E37"/>
    <w:rsid w:val="745F570D"/>
    <w:rsid w:val="74D806E7"/>
    <w:rsid w:val="758E3908"/>
    <w:rsid w:val="75B70F7C"/>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before="100" w:beforeAutospacing="1"/>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21"/>
    <w:semiHidden/>
    <w:unhideWhenUsed/>
    <w:qFormat/>
    <w:uiPriority w:val="99"/>
    <w:pPr>
      <w:tabs>
        <w:tab w:val="center" w:pos="4153"/>
        <w:tab w:val="right" w:pos="8306"/>
      </w:tabs>
      <w:snapToGrid w:val="0"/>
      <w:jc w:val="left"/>
    </w:pPr>
    <w:rPr>
      <w:sz w:val="18"/>
      <w:szCs w:val="18"/>
    </w:rPr>
  </w:style>
  <w:style w:type="paragraph" w:styleId="5">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Title"/>
    <w:basedOn w:val="1"/>
    <w:next w:val="1"/>
    <w:qFormat/>
    <w:uiPriority w:val="0"/>
    <w:pPr>
      <w:spacing w:before="240" w:after="60"/>
      <w:jc w:val="center"/>
      <w:outlineLvl w:val="0"/>
    </w:pPr>
    <w:rPr>
      <w:rFonts w:ascii="Calibri Light" w:hAnsi="Calibri Light"/>
      <w:b/>
      <w:bCs/>
      <w:kern w:val="0"/>
      <w:sz w:val="32"/>
      <w:szCs w:val="32"/>
    </w:rPr>
  </w:style>
  <w:style w:type="paragraph" w:styleId="8">
    <w:name w:val="Body Text First Indent"/>
    <w:basedOn w:val="2"/>
    <w:unhideWhenUsed/>
    <w:qFormat/>
    <w:uiPriority w:val="99"/>
    <w:pPr>
      <w:ind w:firstLine="420" w:firstLineChars="100"/>
    </w:pPr>
  </w:style>
  <w:style w:type="paragraph" w:styleId="9">
    <w:name w:val="Body Text First Indent 2"/>
    <w:basedOn w:val="3"/>
    <w:link w:val="15"/>
    <w:semiHidden/>
    <w:unhideWhenUsed/>
    <w:qFormat/>
    <w:uiPriority w:val="99"/>
    <w:pPr>
      <w:spacing w:before="100" w:beforeAutospacing="1" w:line="480" w:lineRule="exact"/>
      <w:ind w:left="0" w:leftChars="0" w:firstLine="420"/>
    </w:pPr>
    <w:rPr>
      <w:sz w:val="28"/>
      <w:szCs w:val="2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customStyle="1" w:styleId="14">
    <w:name w:val="正文文本缩进 Char"/>
    <w:basedOn w:val="12"/>
    <w:link w:val="3"/>
    <w:semiHidden/>
    <w:qFormat/>
    <w:uiPriority w:val="99"/>
    <w:rPr>
      <w:rFonts w:ascii="Calibri" w:hAnsi="Calibri" w:eastAsia="宋体" w:cs="Times New Roman"/>
      <w:szCs w:val="21"/>
    </w:rPr>
  </w:style>
  <w:style w:type="character" w:customStyle="1" w:styleId="15">
    <w:name w:val="正文首行缩进 2 Char"/>
    <w:basedOn w:val="14"/>
    <w:link w:val="9"/>
    <w:semiHidden/>
    <w:qFormat/>
    <w:uiPriority w:val="99"/>
    <w:rPr>
      <w:sz w:val="28"/>
      <w:szCs w:val="28"/>
    </w:rPr>
  </w:style>
  <w:style w:type="character" w:customStyle="1" w:styleId="16">
    <w:name w:val="正文文本 Char"/>
    <w:basedOn w:val="12"/>
    <w:link w:val="2"/>
    <w:qFormat/>
    <w:uiPriority w:val="99"/>
    <w:rPr>
      <w:rFonts w:ascii="Calibri" w:hAnsi="Calibri" w:eastAsia="宋体" w:cs="Times New Roman"/>
      <w:szCs w:val="21"/>
    </w:rPr>
  </w:style>
  <w:style w:type="paragraph" w:customStyle="1" w:styleId="17">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8">
    <w:name w:val="font11"/>
    <w:basedOn w:val="12"/>
    <w:qFormat/>
    <w:uiPriority w:val="0"/>
    <w:rPr>
      <w:rFonts w:hint="default" w:ascii="Calibri" w:hAnsi="Calibri" w:cs="Calibri"/>
      <w:color w:val="000000"/>
      <w:sz w:val="24"/>
      <w:szCs w:val="24"/>
      <w:u w:val="none"/>
    </w:rPr>
  </w:style>
  <w:style w:type="paragraph" w:customStyle="1" w:styleId="19">
    <w:name w:val="列出段落1"/>
    <w:basedOn w:val="1"/>
    <w:qFormat/>
    <w:uiPriority w:val="34"/>
    <w:pPr>
      <w:widowControl/>
      <w:ind w:firstLine="420" w:firstLineChars="200"/>
      <w:jc w:val="left"/>
    </w:pPr>
    <w:rPr>
      <w:rFonts w:hAnsi="宋体" w:cs="宋体"/>
      <w:sz w:val="24"/>
    </w:rPr>
  </w:style>
  <w:style w:type="character" w:customStyle="1" w:styleId="20">
    <w:name w:val="页眉 Char"/>
    <w:basedOn w:val="12"/>
    <w:link w:val="5"/>
    <w:semiHidden/>
    <w:qFormat/>
    <w:uiPriority w:val="99"/>
    <w:rPr>
      <w:rFonts w:ascii="Calibri" w:hAnsi="Calibri" w:eastAsia="宋体" w:cs="Times New Roman"/>
      <w:kern w:val="2"/>
      <w:sz w:val="18"/>
      <w:szCs w:val="18"/>
    </w:rPr>
  </w:style>
  <w:style w:type="character" w:customStyle="1" w:styleId="21">
    <w:name w:val="页脚 Char"/>
    <w:basedOn w:val="12"/>
    <w:link w:val="4"/>
    <w:semiHidden/>
    <w:qFormat/>
    <w:uiPriority w:val="99"/>
    <w:rPr>
      <w:rFonts w:ascii="Calibri" w:hAnsi="Calibri" w:eastAsia="宋体" w:cs="Times New Roman"/>
      <w:kern w:val="2"/>
      <w:sz w:val="18"/>
      <w:szCs w:val="18"/>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4031</Words>
  <Characters>4815</Characters>
  <Lines>13</Lines>
  <Paragraphs>3</Paragraphs>
  <TotalTime>12</TotalTime>
  <ScaleCrop>false</ScaleCrop>
  <LinksUpToDate>false</LinksUpToDate>
  <CharactersWithSpaces>4995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富顺中医院</cp:lastModifiedBy>
  <cp:lastPrinted>2024-10-08T01:11:00Z</cp:lastPrinted>
  <dcterms:modified xsi:type="dcterms:W3CDTF">2024-10-08T02:07:20Z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F3F87BE2555745EB8639D3A7E23DC6CF_13</vt:lpwstr>
  </property>
</Properties>
</file>